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425" w:rsidRDefault="00EA0A1B" w:rsidP="00C51425">
      <w:pPr>
        <w:spacing w:after="0" w:line="480" w:lineRule="auto"/>
        <w:contextualSpacing/>
      </w:pPr>
      <w:r>
        <w:t>Name</w:t>
      </w:r>
    </w:p>
    <w:p w:rsidR="00C51425" w:rsidRDefault="00EA0A1B" w:rsidP="00C51425">
      <w:pPr>
        <w:spacing w:after="0" w:line="480" w:lineRule="auto"/>
        <w:contextualSpacing/>
      </w:pPr>
      <w:r>
        <w:t>Instructor</w:t>
      </w:r>
    </w:p>
    <w:p w:rsidR="00C51425" w:rsidRDefault="00EA0A1B" w:rsidP="00C51425">
      <w:pPr>
        <w:spacing w:after="0" w:line="480" w:lineRule="auto"/>
        <w:contextualSpacing/>
      </w:pPr>
      <w:r>
        <w:t>Institution</w:t>
      </w:r>
    </w:p>
    <w:p w:rsidR="00C51425" w:rsidRDefault="00EA0A1B" w:rsidP="00C51425">
      <w:pPr>
        <w:spacing w:after="0" w:line="480" w:lineRule="auto"/>
        <w:contextualSpacing/>
      </w:pPr>
      <w:r>
        <w:t>Date</w:t>
      </w:r>
    </w:p>
    <w:p w:rsidR="009C5CF6" w:rsidRPr="00EA0A1B" w:rsidRDefault="00C51425" w:rsidP="00C51425">
      <w:pPr>
        <w:spacing w:after="0" w:line="480" w:lineRule="auto"/>
        <w:contextualSpacing/>
        <w:jc w:val="center"/>
        <w:rPr>
          <w:b/>
        </w:rPr>
      </w:pPr>
      <w:r w:rsidRPr="00EA0A1B">
        <w:rPr>
          <w:b/>
        </w:rPr>
        <w:t>The Virtues and Values of Heroism: Beowulf</w:t>
      </w:r>
    </w:p>
    <w:p w:rsidR="00DE312C" w:rsidRPr="00DE312C" w:rsidRDefault="002754A1" w:rsidP="00DE312C">
      <w:pPr>
        <w:spacing w:after="0" w:line="480" w:lineRule="auto"/>
        <w:ind w:firstLine="720"/>
        <w:contextualSpacing/>
      </w:pPr>
      <w:r>
        <w:t xml:space="preserve">In life, </w:t>
      </w:r>
      <w:r w:rsidR="00BB4116">
        <w:t xml:space="preserve">people who </w:t>
      </w:r>
      <w:r>
        <w:t>selflessly</w:t>
      </w:r>
      <w:r w:rsidR="00BB4116">
        <w:t xml:space="preserve"> aid others while facing </w:t>
      </w:r>
      <w:r w:rsidR="00B811D7">
        <w:t>catastrophes</w:t>
      </w:r>
      <w:r w:rsidR="00BB4116">
        <w:t xml:space="preserve"> </w:t>
      </w:r>
      <w:r>
        <w:t>as well as</w:t>
      </w:r>
      <w:r w:rsidR="00BB4116">
        <w:t xml:space="preserve"> certain dangers</w:t>
      </w:r>
      <w:r w:rsidR="00B811D7">
        <w:t>,</w:t>
      </w:r>
      <w:r>
        <w:t xml:space="preserve"> subsist</w:t>
      </w:r>
      <w:r w:rsidR="00BB4116">
        <w:t xml:space="preserve">. Such </w:t>
      </w:r>
      <w:r w:rsidR="00B811D7">
        <w:t>individuals</w:t>
      </w:r>
      <w:r w:rsidR="00BB4116">
        <w:t xml:space="preserve"> undoubtedly care about the safety and well-being of others</w:t>
      </w:r>
      <w:r w:rsidR="0005391B">
        <w:t>,</w:t>
      </w:r>
      <w:r w:rsidR="00B811D7">
        <w:t xml:space="preserve"> thereby, receiving the heroes’ designation</w:t>
      </w:r>
      <w:r w:rsidR="00DE312C" w:rsidRPr="00DE312C">
        <w:t>.</w:t>
      </w:r>
      <w:r w:rsidR="0005391B">
        <w:t xml:space="preserve"> One such </w:t>
      </w:r>
      <w:r w:rsidR="00B811D7">
        <w:t>champion</w:t>
      </w:r>
      <w:r w:rsidR="0005391B">
        <w:t xml:space="preserve"> rem</w:t>
      </w:r>
      <w:bookmarkStart w:id="0" w:name="_GoBack"/>
      <w:bookmarkEnd w:id="0"/>
      <w:r w:rsidR="0005391B">
        <w:t xml:space="preserve">ains Beowulf, who showed boundless empathy and compassion for others: attributes </w:t>
      </w:r>
      <w:r w:rsidR="00B811D7">
        <w:t>epitomizing</w:t>
      </w:r>
      <w:r w:rsidR="0005391B">
        <w:t xml:space="preserve"> heroic values. </w:t>
      </w:r>
      <w:r w:rsidR="00DE312C" w:rsidRPr="00DE312C">
        <w:t xml:space="preserve"> </w:t>
      </w:r>
      <w:r w:rsidR="00E53D54">
        <w:t xml:space="preserve">Beowulf </w:t>
      </w:r>
      <w:r>
        <w:t>is</w:t>
      </w:r>
      <w:r w:rsidR="00E53D54">
        <w:t xml:space="preserve"> the main protagonist in the epic poem “Beowulf” that took place in 6</w:t>
      </w:r>
      <w:r w:rsidR="00E53D54" w:rsidRPr="00B811D7">
        <w:t>th</w:t>
      </w:r>
      <w:r w:rsidR="00E53D54">
        <w:t xml:space="preserve"> century Denmark and Sweden.  </w:t>
      </w:r>
      <w:r w:rsidR="005C25E3">
        <w:t>T</w:t>
      </w:r>
      <w:r w:rsidR="00E53D54">
        <w:t>his discussion focuses on the major themes alluding to the virtues and values of heroism within the poem.</w:t>
      </w:r>
    </w:p>
    <w:p w:rsidR="009A7ADD" w:rsidRPr="00EF2520" w:rsidRDefault="00E53D54" w:rsidP="00EF2520">
      <w:pPr>
        <w:spacing w:after="0" w:line="480" w:lineRule="auto"/>
        <w:ind w:firstLine="720"/>
        <w:contextualSpacing/>
        <w:rPr>
          <w:rFonts w:eastAsia="Times New Roman"/>
          <w:color w:val="000000" w:themeColor="text1"/>
        </w:rPr>
      </w:pPr>
      <w:r>
        <w:t>As the first consideration</w:t>
      </w:r>
      <w:r w:rsidR="003D43FB">
        <w:t>, the poem incorporates the use of Christian themes</w:t>
      </w:r>
      <w:r w:rsidR="00DE312C">
        <w:t>, illustrated through quotes such as this</w:t>
      </w:r>
      <w:r w:rsidR="007F0DAE">
        <w:t xml:space="preserve">: </w:t>
      </w:r>
      <w:r w:rsidR="000A5C92" w:rsidRPr="00C4351B">
        <w:rPr>
          <w:color w:val="000000" w:themeColor="text1"/>
        </w:rPr>
        <w:t>“</w:t>
      </w:r>
      <w:r w:rsidR="00EF2520" w:rsidRPr="00EF2520">
        <w:rPr>
          <w:rFonts w:eastAsia="Times New Roman"/>
          <w:color w:val="000000" w:themeColor="text1"/>
        </w:rPr>
        <w:t>heir practice this,</w:t>
      </w:r>
      <w:r w:rsidR="00EF2520">
        <w:rPr>
          <w:rFonts w:eastAsia="Times New Roman"/>
          <w:color w:val="000000" w:themeColor="text1"/>
        </w:rPr>
        <w:t xml:space="preserve"> </w:t>
      </w:r>
      <w:r w:rsidR="00EF2520" w:rsidRPr="00EF2520">
        <w:rPr>
          <w:rFonts w:eastAsia="Times New Roman"/>
          <w:color w:val="000000" w:themeColor="text1"/>
        </w:rPr>
        <w:t>their heathen hope; ‘twas Hell they thought of</w:t>
      </w:r>
      <w:r w:rsidR="00EF2520">
        <w:rPr>
          <w:rFonts w:eastAsia="Times New Roman"/>
          <w:color w:val="000000" w:themeColor="text1"/>
        </w:rPr>
        <w:t xml:space="preserve"> </w:t>
      </w:r>
      <w:r w:rsidR="00EF2520" w:rsidRPr="00EF2520">
        <w:rPr>
          <w:rFonts w:eastAsia="Times New Roman"/>
          <w:color w:val="000000" w:themeColor="text1"/>
        </w:rPr>
        <w:t>in mood of their mind. Almighty they knew not,</w:t>
      </w:r>
      <w:r w:rsidR="00EF2520">
        <w:rPr>
          <w:rFonts w:eastAsia="Times New Roman"/>
          <w:color w:val="000000" w:themeColor="text1"/>
        </w:rPr>
        <w:t xml:space="preserve"> </w:t>
      </w:r>
      <w:r w:rsidR="00EF2520" w:rsidRPr="00EF2520">
        <w:rPr>
          <w:rFonts w:eastAsia="Times New Roman"/>
          <w:color w:val="000000" w:themeColor="text1"/>
        </w:rPr>
        <w:t>Doomsman of Deeds and dreadful Lord,</w:t>
      </w:r>
      <w:r w:rsidR="00EF2520">
        <w:rPr>
          <w:rFonts w:eastAsia="Times New Roman"/>
          <w:color w:val="000000" w:themeColor="text1"/>
        </w:rPr>
        <w:t xml:space="preserve"> </w:t>
      </w:r>
      <w:r w:rsidR="00EF2520" w:rsidRPr="00EF2520">
        <w:rPr>
          <w:rFonts w:eastAsia="Times New Roman"/>
          <w:color w:val="000000" w:themeColor="text1"/>
        </w:rPr>
        <w:t>nor Heaven’s-Helmet heeded they ever,</w:t>
      </w:r>
      <w:r w:rsidR="00EF2520">
        <w:rPr>
          <w:rFonts w:eastAsia="Times New Roman"/>
          <w:color w:val="000000" w:themeColor="text1"/>
        </w:rPr>
        <w:t xml:space="preserve"> Wielder</w:t>
      </w:r>
      <w:r w:rsidR="00A73AFA">
        <w:rPr>
          <w:rFonts w:eastAsia="Times New Roman"/>
          <w:color w:val="000000" w:themeColor="text1"/>
        </w:rPr>
        <w:t xml:space="preserve">-of-Wonder” </w:t>
      </w:r>
      <w:r w:rsidR="00DE312C">
        <w:rPr>
          <w:rFonts w:eastAsia="Times New Roman"/>
          <w:color w:val="000000" w:themeColor="text1"/>
        </w:rPr>
        <w:t xml:space="preserve">(Grummere </w:t>
      </w:r>
      <w:r w:rsidR="00250C12">
        <w:rPr>
          <w:rFonts w:eastAsia="Times New Roman"/>
          <w:color w:val="000000" w:themeColor="text1"/>
        </w:rPr>
        <w:t>178-</w:t>
      </w:r>
      <w:r w:rsidR="00DE312C">
        <w:rPr>
          <w:rFonts w:eastAsia="Times New Roman"/>
          <w:color w:val="000000" w:themeColor="text1"/>
        </w:rPr>
        <w:t>18</w:t>
      </w:r>
      <w:r w:rsidR="00250C12">
        <w:rPr>
          <w:rFonts w:eastAsia="Times New Roman"/>
          <w:color w:val="000000" w:themeColor="text1"/>
        </w:rPr>
        <w:t>3</w:t>
      </w:r>
      <w:r w:rsidR="00DE312C">
        <w:rPr>
          <w:rFonts w:eastAsia="Times New Roman"/>
          <w:color w:val="000000" w:themeColor="text1"/>
        </w:rPr>
        <w:t>)</w:t>
      </w:r>
      <w:r w:rsidR="00250C12">
        <w:rPr>
          <w:rFonts w:eastAsia="Times New Roman"/>
          <w:color w:val="000000" w:themeColor="text1"/>
        </w:rPr>
        <w:t>.</w:t>
      </w:r>
      <w:r w:rsidR="00DE312C">
        <w:rPr>
          <w:rFonts w:eastAsia="Times New Roman"/>
          <w:color w:val="000000" w:themeColor="text1"/>
        </w:rPr>
        <w:t xml:space="preserve"> </w:t>
      </w:r>
      <w:r w:rsidR="00D5253A">
        <w:t>This coupled with</w:t>
      </w:r>
      <w:r w:rsidR="003D43FB">
        <w:t xml:space="preserve"> Germanic paganism</w:t>
      </w:r>
      <w:r w:rsidR="00D5253A">
        <w:t xml:space="preserve"> makes the poem quite intriguing</w:t>
      </w:r>
      <w:r w:rsidR="003D43FB">
        <w:t xml:space="preserve">. </w:t>
      </w:r>
    </w:p>
    <w:p w:rsidR="00835257" w:rsidRDefault="00FD4812" w:rsidP="005F53FD">
      <w:pPr>
        <w:spacing w:after="0" w:line="480" w:lineRule="auto"/>
        <w:ind w:firstLine="720"/>
        <w:contextualSpacing/>
      </w:pPr>
      <w:r>
        <w:t>The plot commences with the descendant of the great King Shield Sheafson, King Hrothgar of Denmark, who take</w:t>
      </w:r>
      <w:r w:rsidR="00EF2520">
        <w:t>s</w:t>
      </w:r>
      <w:r>
        <w:t xml:space="preserve"> pleasure in a successful and prosperous reign. Throughout the reign however, several themes emerge </w:t>
      </w:r>
      <w:r w:rsidR="00EF2520">
        <w:t>as pertains to</w:t>
      </w:r>
      <w:r>
        <w:t xml:space="preserve"> </w:t>
      </w:r>
      <w:r w:rsidR="005C25E3">
        <w:t>heroism</w:t>
      </w:r>
      <w:r>
        <w:t xml:space="preserve">. Primarily, the theme of </w:t>
      </w:r>
      <w:r w:rsidR="00EF2520">
        <w:t>establishing identity and its</w:t>
      </w:r>
      <w:r>
        <w:t xml:space="preserve"> significance remains quite </w:t>
      </w:r>
      <w:r w:rsidR="00EF2520">
        <w:t>evident</w:t>
      </w:r>
      <w:r>
        <w:t xml:space="preserve"> as </w:t>
      </w:r>
      <w:r w:rsidR="00E6090D">
        <w:t xml:space="preserve">the aforementioned co-principals display both individual reputation </w:t>
      </w:r>
      <w:r w:rsidR="00EF2520">
        <w:t>as well as</w:t>
      </w:r>
      <w:r w:rsidR="00E6090D">
        <w:t xml:space="preserve"> ancestral heritage. The poem’s opening passage </w:t>
      </w:r>
      <w:r w:rsidR="00BE2692">
        <w:t xml:space="preserve">establishes </w:t>
      </w:r>
      <w:r w:rsidR="00EF2520">
        <w:t>the common reference</w:t>
      </w:r>
      <w:r w:rsidR="00BE2692">
        <w:t xml:space="preserve"> to male figures as their father’s son. This brings about </w:t>
      </w:r>
      <w:r w:rsidR="00BE2692">
        <w:lastRenderedPageBreak/>
        <w:t xml:space="preserve">strong ties to family </w:t>
      </w:r>
      <w:r w:rsidR="00D33A96">
        <w:t xml:space="preserve">lineage and establishes the concept of identity throughout the </w:t>
      </w:r>
      <w:r w:rsidR="00835257">
        <w:t>poem. Therefore,</w:t>
      </w:r>
      <w:r w:rsidR="00D33A96">
        <w:t xml:space="preserve"> heritage </w:t>
      </w:r>
      <w:r w:rsidR="00835257">
        <w:t xml:space="preserve">essentially </w:t>
      </w:r>
      <w:r w:rsidR="00D33A96">
        <w:t xml:space="preserve">remains </w:t>
      </w:r>
      <w:r w:rsidR="00835257">
        <w:t>an</w:t>
      </w:r>
      <w:r w:rsidR="00D33A96">
        <w:t xml:space="preserve"> underlying </w:t>
      </w:r>
      <w:r w:rsidR="00835257">
        <w:t>guideline</w:t>
      </w:r>
      <w:r w:rsidR="00D33A96">
        <w:t xml:space="preserve"> to behavior models, which consequently establishes identity. </w:t>
      </w:r>
      <w:r w:rsidR="00835257">
        <w:t>Heritage appears analogous</w:t>
      </w:r>
      <w:r w:rsidR="00F7464B">
        <w:t xml:space="preserve"> to the common Danish kings’ rhetoric – a pleasant reputation remains the chief instigator of identity</w:t>
      </w:r>
      <w:r w:rsidR="005F53FD">
        <w:t xml:space="preserve"> </w:t>
      </w:r>
      <w:r w:rsidR="00835257">
        <w:t>supplementation</w:t>
      </w:r>
      <w:r w:rsidR="005F53FD">
        <w:t xml:space="preserve">. </w:t>
      </w:r>
    </w:p>
    <w:p w:rsidR="00F7464B" w:rsidRPr="00A73AFA" w:rsidRDefault="00F7464B" w:rsidP="00A73AFA">
      <w:pPr>
        <w:spacing w:after="0" w:line="480" w:lineRule="auto"/>
        <w:ind w:firstLine="720"/>
        <w:contextualSpacing/>
        <w:rPr>
          <w:rFonts w:eastAsia="Times New Roman"/>
          <w:color w:val="000000" w:themeColor="text1"/>
        </w:rPr>
      </w:pPr>
      <w:r>
        <w:t xml:space="preserve">Other than identity, the poem displays the tensions between the code of heroics and other value systems. Throughout the poem, the </w:t>
      </w:r>
      <w:r w:rsidR="00835257">
        <w:t xml:space="preserve">illustration </w:t>
      </w:r>
      <w:r>
        <w:t xml:space="preserve">as well as </w:t>
      </w:r>
      <w:r w:rsidR="00835257">
        <w:t xml:space="preserve">use </w:t>
      </w:r>
      <w:r>
        <w:t>of the Germanic heroic code</w:t>
      </w:r>
      <w:r w:rsidR="002472E0">
        <w:t xml:space="preserve"> remains evident. This code’s essentials include</w:t>
      </w:r>
      <w:r>
        <w:t xml:space="preserve"> strength, </w:t>
      </w:r>
      <w:r w:rsidR="000B7F84">
        <w:t>loyalty, and courage in warriors; ceremoniousness in women; generosity, political skill, and hospitality in kings; and overall noteworthy reputation among the populace.</w:t>
      </w:r>
      <w:r w:rsidR="00780754">
        <w:t xml:space="preserve"> </w:t>
      </w:r>
      <w:r w:rsidR="002472E0">
        <w:t>The Germanic heroic code is</w:t>
      </w:r>
      <w:r w:rsidR="00780754">
        <w:t xml:space="preserve"> quite evident </w:t>
      </w:r>
      <w:r w:rsidR="002472E0">
        <w:t xml:space="preserve">within the poem </w:t>
      </w:r>
      <w:r w:rsidR="00780754">
        <w:t xml:space="preserve">through the </w:t>
      </w:r>
      <w:r w:rsidR="00C954C4">
        <w:t>following quote</w:t>
      </w:r>
      <w:r w:rsidR="002472E0">
        <w:t>:</w:t>
      </w:r>
      <w:r w:rsidR="002472E0" w:rsidRPr="009F040C">
        <w:rPr>
          <w:color w:val="000000" w:themeColor="text1"/>
        </w:rPr>
        <w:t xml:space="preserve"> “</w:t>
      </w:r>
      <w:r w:rsidR="00A73AFA" w:rsidRPr="00A73AFA">
        <w:rPr>
          <w:rFonts w:eastAsia="Times New Roman"/>
          <w:color w:val="000000" w:themeColor="text1"/>
        </w:rPr>
        <w:t>This heard in his home Hygelac’s thane,</w:t>
      </w:r>
      <w:r w:rsidR="00A73AFA">
        <w:rPr>
          <w:rFonts w:eastAsia="Times New Roman"/>
          <w:color w:val="000000" w:themeColor="text1"/>
        </w:rPr>
        <w:t xml:space="preserve"> </w:t>
      </w:r>
      <w:r w:rsidR="00A73AFA" w:rsidRPr="00A73AFA">
        <w:rPr>
          <w:rFonts w:eastAsia="Times New Roman"/>
          <w:color w:val="000000" w:themeColor="text1"/>
        </w:rPr>
        <w:t>great among Geats, of Grendel’s doings.</w:t>
      </w:r>
      <w:r w:rsidR="00A73AFA">
        <w:rPr>
          <w:rFonts w:eastAsia="Times New Roman"/>
          <w:color w:val="000000" w:themeColor="text1"/>
        </w:rPr>
        <w:t xml:space="preserve"> </w:t>
      </w:r>
      <w:r w:rsidR="00A73AFA" w:rsidRPr="00A73AFA">
        <w:rPr>
          <w:rFonts w:eastAsia="Times New Roman"/>
          <w:color w:val="000000" w:themeColor="text1"/>
        </w:rPr>
        <w:t>He was the mightiest man of valor</w:t>
      </w:r>
      <w:r w:rsidR="00A73AFA">
        <w:rPr>
          <w:rFonts w:eastAsia="Times New Roman"/>
          <w:color w:val="000000" w:themeColor="text1"/>
        </w:rPr>
        <w:t xml:space="preserve"> </w:t>
      </w:r>
      <w:r w:rsidR="00A73AFA" w:rsidRPr="00A73AFA">
        <w:rPr>
          <w:rFonts w:eastAsia="Times New Roman"/>
          <w:color w:val="000000" w:themeColor="text1"/>
        </w:rPr>
        <w:t>in that same day of this our life,</w:t>
      </w:r>
      <w:r w:rsidR="00A73AFA">
        <w:rPr>
          <w:rFonts w:eastAsia="Times New Roman"/>
          <w:color w:val="000000" w:themeColor="text1"/>
        </w:rPr>
        <w:t xml:space="preserve"> stalwart and stately</w:t>
      </w:r>
      <w:r w:rsidR="00903F90" w:rsidRPr="009F040C">
        <w:rPr>
          <w:color w:val="000000" w:themeColor="text1"/>
        </w:rPr>
        <w:t>”</w:t>
      </w:r>
      <w:r w:rsidR="00D306F8">
        <w:rPr>
          <w:color w:val="000000" w:themeColor="text1"/>
        </w:rPr>
        <w:t xml:space="preserve"> (Grummere 194-198)</w:t>
      </w:r>
      <w:r w:rsidR="00A73AFA">
        <w:rPr>
          <w:color w:val="000000" w:themeColor="text1"/>
        </w:rPr>
        <w:t>.</w:t>
      </w:r>
    </w:p>
    <w:p w:rsidR="000B7F84" w:rsidRDefault="00E56E30" w:rsidP="00C51425">
      <w:pPr>
        <w:spacing w:after="0" w:line="480" w:lineRule="auto"/>
        <w:ind w:firstLine="720"/>
        <w:contextualSpacing/>
      </w:pPr>
      <w:r>
        <w:t xml:space="preserve">In this, the poem highlights – through recounting certain situations – the code’s </w:t>
      </w:r>
      <w:r w:rsidR="00D306F8">
        <w:t xml:space="preserve">prerequisites. Ultimately, this code results in contradictions on the value system, which portends </w:t>
      </w:r>
      <w:r w:rsidR="003372FF">
        <w:t>a dark side of the poem seen</w:t>
      </w:r>
      <w:r>
        <w:t xml:space="preserve"> through </w:t>
      </w:r>
      <w:r w:rsidR="003372FF">
        <w:t>colossal</w:t>
      </w:r>
      <w:r>
        <w:t xml:space="preserve"> death and destruction, betrayal, treachery, and bloodshed. </w:t>
      </w:r>
      <w:r w:rsidR="003372FF">
        <w:t xml:space="preserve">The primary cause of these essentially remains the fact that the code is </w:t>
      </w:r>
      <w:r>
        <w:t>in contention with medieval Christianity</w:t>
      </w:r>
      <w:r w:rsidR="00581E37">
        <w:t xml:space="preserve">. On one hand, Christianity’s belief and practice has its glory set in the afterlife while the code asserts honor through lifetime deeds. </w:t>
      </w:r>
    </w:p>
    <w:p w:rsidR="00581E37" w:rsidRDefault="00C51425" w:rsidP="00C51425">
      <w:pPr>
        <w:spacing w:after="0" w:line="480" w:lineRule="auto"/>
        <w:ind w:firstLine="720"/>
        <w:contextualSpacing/>
      </w:pPr>
      <w:r>
        <w:t>T</w:t>
      </w:r>
      <w:r w:rsidR="00581E37">
        <w:t xml:space="preserve">he poem </w:t>
      </w:r>
      <w:r w:rsidR="003372FF">
        <w:t xml:space="preserve">also </w:t>
      </w:r>
      <w:r w:rsidR="00581E37">
        <w:t>vividly displays divergence</w:t>
      </w:r>
      <w:r w:rsidR="003372FF">
        <w:t>s</w:t>
      </w:r>
      <w:r w:rsidR="00581E37">
        <w:t xml:space="preserve"> between a good king and a good warrior. Throughout the poem, </w:t>
      </w:r>
      <w:r w:rsidR="001867D5">
        <w:t xml:space="preserve">Beowulf </w:t>
      </w:r>
      <w:r w:rsidR="003372FF">
        <w:t>develops</w:t>
      </w:r>
      <w:r w:rsidR="001867D5">
        <w:t xml:space="preserve"> from a combatant into a </w:t>
      </w:r>
      <w:r w:rsidR="003372FF">
        <w:t>wise ruler</w:t>
      </w:r>
      <w:r w:rsidR="001867D5">
        <w:t xml:space="preserve">. This transition defines dual sets of differing rules accompanying each role. </w:t>
      </w:r>
      <w:r w:rsidR="00CE0881">
        <w:t xml:space="preserve">The poem’s beginnings display </w:t>
      </w:r>
      <w:r w:rsidR="001867D5">
        <w:t xml:space="preserve">contradictory perspectives of </w:t>
      </w:r>
      <w:r w:rsidR="00CE0881">
        <w:t xml:space="preserve">both </w:t>
      </w:r>
      <w:r w:rsidR="001867D5">
        <w:t xml:space="preserve">King Hrothgar and Beowulf. While the young Beowulf seeks </w:t>
      </w:r>
      <w:r w:rsidR="001867D5">
        <w:lastRenderedPageBreak/>
        <w:t xml:space="preserve">ultimate glory, having nothing to </w:t>
      </w:r>
      <w:r w:rsidR="008E77B3">
        <w:t xml:space="preserve">lose, the King seeks protection. Somewhat oppositional, these two </w:t>
      </w:r>
      <w:r w:rsidR="00CE0881">
        <w:t>perspectives</w:t>
      </w:r>
      <w:r w:rsidR="008E77B3">
        <w:t xml:space="preserve"> </w:t>
      </w:r>
      <w:r w:rsidR="00CE0881">
        <w:t>emerge</w:t>
      </w:r>
      <w:r w:rsidR="008E77B3">
        <w:t xml:space="preserve"> through </w:t>
      </w:r>
      <w:r w:rsidR="00CE0881">
        <w:t>society’s directives as well as its emerging roles</w:t>
      </w:r>
      <w:r w:rsidR="008E77B3">
        <w:t xml:space="preserve">. </w:t>
      </w:r>
    </w:p>
    <w:p w:rsidR="008E77B3" w:rsidRDefault="008E77B3" w:rsidP="00C51425">
      <w:pPr>
        <w:spacing w:after="0" w:line="480" w:lineRule="auto"/>
        <w:ind w:firstLine="720"/>
        <w:contextualSpacing/>
      </w:pPr>
      <w:r>
        <w:t>Ultimately, most poets know the story of Beowulf.</w:t>
      </w:r>
      <w:r w:rsidR="00A909E6">
        <w:t xml:space="preserve"> T</w:t>
      </w:r>
      <w:r>
        <w:t xml:space="preserve">he underlying question remains whether its design was simply </w:t>
      </w:r>
      <w:r w:rsidR="00CE0881">
        <w:t>that of</w:t>
      </w:r>
      <w:r>
        <w:t xml:space="preserve"> the reader’s enjoyment</w:t>
      </w:r>
      <w:r w:rsidR="00A909E6">
        <w:t xml:space="preserve"> or for recounting the Swedish-Danish history through its plot and characters. Nonetheless, Beowulf remains a remarkable poem with motives that suggest a poet </w:t>
      </w:r>
      <w:r w:rsidR="00CE0881">
        <w:t>well versed in</w:t>
      </w:r>
      <w:r w:rsidR="00126D19">
        <w:t xml:space="preserve"> the outward</w:t>
      </w:r>
      <w:r w:rsidR="00A909E6">
        <w:t xml:space="preserve"> project</w:t>
      </w:r>
      <w:r w:rsidR="00126D19">
        <w:t xml:space="preserve">ion of complexity; predominantly, in </w:t>
      </w:r>
      <w:r w:rsidR="00A909E6">
        <w:t xml:space="preserve">tales of mystery </w:t>
      </w:r>
      <w:r w:rsidR="009C5CF6">
        <w:t>and intrigue</w:t>
      </w:r>
      <w:r w:rsidR="00126D19">
        <w:t xml:space="preserve"> as seen with Beowulf</w:t>
      </w:r>
      <w:r w:rsidR="009C5CF6">
        <w:t xml:space="preserve">. To some, Beowulf </w:t>
      </w:r>
      <w:r w:rsidR="00126D19">
        <w:t>has Christian-like inclinations,</w:t>
      </w:r>
      <w:r w:rsidR="009C5CF6">
        <w:t xml:space="preserve"> to others, an Anglo-Saxon </w:t>
      </w:r>
      <w:r w:rsidR="00126D19">
        <w:t>viewpoint</w:t>
      </w:r>
      <w:r w:rsidR="009C5CF6">
        <w:t xml:space="preserve">. While this may be the case, the brilliant Beowulf poet shows impeccable fusion of three grand ideas: Germanic traditions, Christian themes, and paganism. </w:t>
      </w:r>
    </w:p>
    <w:p w:rsidR="00A73AFA" w:rsidRDefault="00A73AFA">
      <w:r>
        <w:br w:type="page"/>
      </w:r>
    </w:p>
    <w:p w:rsidR="00A73AFA" w:rsidRDefault="00A73AFA" w:rsidP="00A73AFA">
      <w:pPr>
        <w:spacing w:after="0" w:line="480" w:lineRule="auto"/>
        <w:contextualSpacing/>
        <w:jc w:val="center"/>
      </w:pPr>
      <w:r>
        <w:lastRenderedPageBreak/>
        <w:t>Works Cited</w:t>
      </w:r>
    </w:p>
    <w:p w:rsidR="00A73AFA" w:rsidRDefault="00A73AFA" w:rsidP="00A73AFA">
      <w:pPr>
        <w:spacing w:after="0" w:line="480" w:lineRule="auto"/>
        <w:ind w:left="720" w:hanging="720"/>
        <w:contextualSpacing/>
      </w:pPr>
      <w:r w:rsidRPr="00A73AFA">
        <w:t>Gummere, Francis B. </w:t>
      </w:r>
      <w:r w:rsidRPr="00A73AFA">
        <w:rPr>
          <w:i/>
          <w:iCs/>
        </w:rPr>
        <w:t>Beowulf</w:t>
      </w:r>
      <w:r w:rsidRPr="00A73AFA">
        <w:t>. Sonoma, CA: BookheadEd Learning, LLC, 2015. Web. 14 July 2019.</w:t>
      </w:r>
    </w:p>
    <w:sectPr w:rsidR="00A73AFA" w:rsidSect="009A7AD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A6C" w:rsidRDefault="00423A6C" w:rsidP="00C51425">
      <w:pPr>
        <w:spacing w:after="0"/>
      </w:pPr>
      <w:r>
        <w:separator/>
      </w:r>
    </w:p>
  </w:endnote>
  <w:endnote w:type="continuationSeparator" w:id="0">
    <w:p w:rsidR="00423A6C" w:rsidRDefault="00423A6C" w:rsidP="00C514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A6C" w:rsidRDefault="00423A6C" w:rsidP="00C51425">
      <w:pPr>
        <w:spacing w:after="0"/>
      </w:pPr>
      <w:r>
        <w:separator/>
      </w:r>
    </w:p>
  </w:footnote>
  <w:footnote w:type="continuationSeparator" w:id="0">
    <w:p w:rsidR="00423A6C" w:rsidRDefault="00423A6C" w:rsidP="00C514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425" w:rsidRDefault="00C51425">
    <w:pPr>
      <w:pStyle w:val="Header"/>
      <w:jc w:val="right"/>
    </w:pPr>
    <w:r>
      <w:t xml:space="preserve">Surname </w:t>
    </w:r>
    <w:sdt>
      <w:sdtPr>
        <w:id w:val="14949654"/>
        <w:docPartObj>
          <w:docPartGallery w:val="Page Numbers (Top of Page)"/>
          <w:docPartUnique/>
        </w:docPartObj>
      </w:sdtPr>
      <w:sdtEndPr/>
      <w:sdtContent>
        <w:r w:rsidR="00DD1AF5">
          <w:fldChar w:fldCharType="begin"/>
        </w:r>
        <w:r w:rsidR="00546DC8">
          <w:instrText xml:space="preserve"> PAGE   \* MERGEFORMAT </w:instrText>
        </w:r>
        <w:r w:rsidR="00DD1AF5">
          <w:fldChar w:fldCharType="separate"/>
        </w:r>
        <w:r w:rsidR="00EA0A1B">
          <w:rPr>
            <w:noProof/>
          </w:rPr>
          <w:t>1</w:t>
        </w:r>
        <w:r w:rsidR="00DD1AF5">
          <w:rPr>
            <w:noProof/>
          </w:rPr>
          <w:fldChar w:fldCharType="end"/>
        </w:r>
      </w:sdtContent>
    </w:sdt>
  </w:p>
  <w:p w:rsidR="00C51425" w:rsidRDefault="00C514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C9"/>
    <w:rsid w:val="0002608D"/>
    <w:rsid w:val="0005391B"/>
    <w:rsid w:val="000A5C92"/>
    <w:rsid w:val="000B7F84"/>
    <w:rsid w:val="00110C2E"/>
    <w:rsid w:val="00126D19"/>
    <w:rsid w:val="001867D5"/>
    <w:rsid w:val="00197233"/>
    <w:rsid w:val="002472E0"/>
    <w:rsid w:val="00250C12"/>
    <w:rsid w:val="0025791F"/>
    <w:rsid w:val="002754A1"/>
    <w:rsid w:val="002B0B0C"/>
    <w:rsid w:val="002C6C62"/>
    <w:rsid w:val="003372FF"/>
    <w:rsid w:val="003D43FB"/>
    <w:rsid w:val="00423A6C"/>
    <w:rsid w:val="00435DCD"/>
    <w:rsid w:val="00447741"/>
    <w:rsid w:val="00546DC8"/>
    <w:rsid w:val="00550F9A"/>
    <w:rsid w:val="00581E37"/>
    <w:rsid w:val="005C25E3"/>
    <w:rsid w:val="005F53FD"/>
    <w:rsid w:val="0071262E"/>
    <w:rsid w:val="00780754"/>
    <w:rsid w:val="007F0DAE"/>
    <w:rsid w:val="00835257"/>
    <w:rsid w:val="008E77B3"/>
    <w:rsid w:val="00903F90"/>
    <w:rsid w:val="00913F9F"/>
    <w:rsid w:val="009A7ADD"/>
    <w:rsid w:val="009B1BDB"/>
    <w:rsid w:val="009B1E8A"/>
    <w:rsid w:val="009C5CF6"/>
    <w:rsid w:val="009F040C"/>
    <w:rsid w:val="00A73AFA"/>
    <w:rsid w:val="00A909E6"/>
    <w:rsid w:val="00A97D8C"/>
    <w:rsid w:val="00AA1452"/>
    <w:rsid w:val="00AC1C6F"/>
    <w:rsid w:val="00B811D7"/>
    <w:rsid w:val="00B82DC9"/>
    <w:rsid w:val="00BB4116"/>
    <w:rsid w:val="00BE2692"/>
    <w:rsid w:val="00C22DEA"/>
    <w:rsid w:val="00C4351B"/>
    <w:rsid w:val="00C51425"/>
    <w:rsid w:val="00C954C4"/>
    <w:rsid w:val="00CE0881"/>
    <w:rsid w:val="00D306F8"/>
    <w:rsid w:val="00D33A96"/>
    <w:rsid w:val="00D5253A"/>
    <w:rsid w:val="00DD1AF5"/>
    <w:rsid w:val="00DE312C"/>
    <w:rsid w:val="00E23341"/>
    <w:rsid w:val="00E53D54"/>
    <w:rsid w:val="00E56E30"/>
    <w:rsid w:val="00E6090D"/>
    <w:rsid w:val="00EA0A1B"/>
    <w:rsid w:val="00EF2520"/>
    <w:rsid w:val="00F15799"/>
    <w:rsid w:val="00F47AFC"/>
    <w:rsid w:val="00F54FFB"/>
    <w:rsid w:val="00F7464B"/>
    <w:rsid w:val="00F80200"/>
    <w:rsid w:val="00F95EE9"/>
    <w:rsid w:val="00FD4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7B33E0-D465-424F-B9C5-830947E8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42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51425"/>
  </w:style>
  <w:style w:type="paragraph" w:styleId="Footer">
    <w:name w:val="footer"/>
    <w:basedOn w:val="Normal"/>
    <w:link w:val="FooterChar"/>
    <w:uiPriority w:val="99"/>
    <w:unhideWhenUsed/>
    <w:rsid w:val="00C5142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51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Ombo</dc:creator>
  <cp:lastModifiedBy>Microsoft</cp:lastModifiedBy>
  <cp:revision>2</cp:revision>
  <dcterms:created xsi:type="dcterms:W3CDTF">2019-07-15T18:33:00Z</dcterms:created>
  <dcterms:modified xsi:type="dcterms:W3CDTF">2019-07-15T18:33:00Z</dcterms:modified>
</cp:coreProperties>
</file>